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r03211d4kln3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does AI-first actually mean in a business context?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means AI participates in shaping decisions, execution, and scaling from the start rather than being added after choices are made.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using AI tools not the same as being AI-first?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Using tools often supports existing workflows, while AI-first design changes how work flows and decisions are formed.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is an AI-first business structurally different from a traditional one?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is embedded in core workflows to handle analysis and pattern recognition instead of assisting only after decisions.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decision making change in an AI-first setup?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Decisions are made earlier with better inputs because AI highlights patterns and signals before problems grow.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